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0C2C83FE" w14:textId="569383B5" w:rsidR="00F64D1F" w:rsidRPr="00230886" w:rsidRDefault="00F64D1F" w:rsidP="0023088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230886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Приложение </w:t>
      </w:r>
      <w:r w:rsidR="00C45A2C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</w:p>
    <w:p w14:paraId="5E995B81" w14:textId="77777777" w:rsidR="00F64D1F" w:rsidRPr="00230886" w:rsidRDefault="00F64D1F" w:rsidP="00230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AF8104" w14:textId="77777777" w:rsidR="00B700ED" w:rsidRPr="00230886" w:rsidRDefault="00B700ED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«Растворы строительные. Общие технические условия»</w:t>
      </w:r>
    </w:p>
    <w:p w14:paraId="75B3EC95" w14:textId="77777777" w:rsidR="00B700ED" w:rsidRPr="00230886" w:rsidRDefault="00B700ED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«Камни бетонные и железобетонные бортовые. Технические условия»</w:t>
      </w:r>
    </w:p>
    <w:p w14:paraId="40A66E2A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«Опоры железобетонные дорожных знаков. Технические условия»</w:t>
      </w:r>
    </w:p>
    <w:p w14:paraId="50C6B5A1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</w:t>
      </w:r>
      <w:bookmarkStart w:id="0" w:name="_Hlk120637726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Машины для лесного хозяйства. Требования безопасности и испытание механизированных секаторов на штанге. Часть 1. Секаторы со встроенным двигателем внутреннего сгорания</w:t>
      </w:r>
      <w:bookmarkEnd w:id="0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»</w:t>
      </w:r>
    </w:p>
    <w:p w14:paraId="7232C344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для лесного хозяйства. Требования безопасности и испытание механизированных секаторов на штанге. Часть 2. Секаторы с ранцевым источником питания»</w:t>
      </w:r>
    </w:p>
    <w:p w14:paraId="207A097B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</w:t>
      </w:r>
      <w:bookmarkStart w:id="1" w:name="_Hlk120637753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Машины для лесного хозяйства. Требования безопасности и испытания переносных цепных пил. Часть 1. Цепные пилы для лесных работ</w:t>
      </w:r>
      <w:bookmarkEnd w:id="1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»</w:t>
      </w:r>
    </w:p>
    <w:p w14:paraId="04CA7E3E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для лесного хозяйства. Требования безопасности и испытания переносных цепных пил. Часть 2. Цепные пилы для валки деревьев»</w:t>
      </w:r>
    </w:p>
    <w:p w14:paraId="6759B9BB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1. Машины со встроенным двигателем внутреннего сгорания»</w:t>
      </w:r>
    </w:p>
    <w:p w14:paraId="78373763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2. Машины с ранцевым источником питания»</w:t>
      </w:r>
    </w:p>
    <w:p w14:paraId="7954C5DA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«Безопасность машин. Защитные устройства, чувствительные к давлению. Часть 1. Общие принципы проектирования и испытания ковриков и полов, реагирующих на давление». </w:t>
      </w:r>
    </w:p>
    <w:p w14:paraId="443723D2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Защитные устройства, чувствительные к давлению. Часть 2. Общие принципы проектирования и испытания кромок и стержней, реагирующих на давление»</w:t>
      </w:r>
    </w:p>
    <w:p w14:paraId="12661139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Защитные устройства, чувствительные к давлению Часть 3. Общие принципы проектирования и испытания амортизаторов, пластин, проводов и аналогичных изделий, реагирующих на давление»</w:t>
      </w:r>
    </w:p>
    <w:p w14:paraId="70AF7AB1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Предотвращение непреднамеренного пуска»</w:t>
      </w:r>
    </w:p>
    <w:p w14:paraId="1702C0FA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«Безопасность машин. Блокировочные устройства для ограждений. Принципы конструирования и выбора». </w:t>
      </w:r>
    </w:p>
    <w:p w14:paraId="5FB20737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Постоянные средства доступа к машинам. Часть 1. Выбор стационарных средств доступа между двумя уровнями»</w:t>
      </w:r>
    </w:p>
    <w:p w14:paraId="4BCBC55C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Постоянные средства доступа к машинам. Часть 2. Рабочие платформы и проходы»</w:t>
      </w:r>
    </w:p>
    <w:p w14:paraId="635F4857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Постоянные средства доступа к машинам. Часть 3. Лестничные марши, стремянки и перила»</w:t>
      </w:r>
    </w:p>
    <w:p w14:paraId="59671D5A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«Безопасность машин. Постоянные средства доступа к машинам. Часть 4. Стационарные лестницы»</w:t>
      </w:r>
    </w:p>
    <w:p w14:paraId="63DDE72D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сельскохозяйственные и лесохозяйственные. Механизированные косилки, управляемые рядом идущим оператором. Требования безопасности».</w:t>
      </w:r>
    </w:p>
    <w:p w14:paraId="52FA8F40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«Машины для смешивания материалов для покрытий. Требования безопасности. Часть 1. Машины для смешивания, используемые для повторной отделки автомобиля»</w:t>
      </w:r>
    </w:p>
    <w:p w14:paraId="71566549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«Оборудование для очистки снега. Требования безопасности»</w:t>
      </w:r>
    </w:p>
    <w:p w14:paraId="1A7895F6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«Камеры для нанесения органических материалов покрытия распылением. Требования безопасности»</w:t>
      </w:r>
    </w:p>
    <w:p w14:paraId="1F1DBC56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«Транспорт дорожный. Помехи </w:t>
      </w:r>
      <w:proofErr w:type="spellStart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кондуктивные</w:t>
      </w:r>
      <w:proofErr w:type="spellEnd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, емкостные и индуктивные. Часть 1. Термины, определения и общие положения»</w:t>
      </w:r>
    </w:p>
    <w:p w14:paraId="52CEEB09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lastRenderedPageBreak/>
        <w:t xml:space="preserve">ГОСТ «Транспорт дорожный. Помехи </w:t>
      </w:r>
      <w:proofErr w:type="spellStart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кондуктивные</w:t>
      </w:r>
      <w:proofErr w:type="spellEnd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, емкостные и индуктивные. Часть 3. Импульсные помехи в емкостных и индуктивных цепях (кроме цепей питания)».</w:t>
      </w:r>
    </w:p>
    <w:p w14:paraId="671B9029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«Мусоровозы. Общие технические требования и требования безопасности. Часть 1. Мусоровозы с задней загрузкой»</w:t>
      </w:r>
    </w:p>
    <w:p w14:paraId="27765135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«Мусоровозы и их подъемные устройства. Общие технические требования и требования безопасности. Часть 3. Мусоровозы с фронтальной загрузкой»</w:t>
      </w:r>
    </w:p>
    <w:p w14:paraId="01162FB5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«Машины для нанесения покрытий. Машины для покрытия погружением и нанесения органических жидких кроющих материалов методом </w:t>
      </w:r>
      <w:proofErr w:type="spellStart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электроосаждения</w:t>
      </w:r>
      <w:proofErr w:type="spellEnd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. Требования безопасности»</w:t>
      </w:r>
    </w:p>
    <w:p w14:paraId="36A2FE6C" w14:textId="77777777" w:rsidR="00F64D1F" w:rsidRPr="00230886" w:rsidRDefault="00F64D1F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«Продукты пищевые. Определение содержания кальция, меди, железа, магния, марганца, фосфора, калия, натрия, серы и цинка с помощью оптической эмиссионной спектрометрии с индуктивно-связанной плазмой (ICP-OES)»</w:t>
      </w:r>
    </w:p>
    <w:p w14:paraId="4BC8370B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генераторы»</w:t>
      </w:r>
    </w:p>
    <w:p w14:paraId="5AF4913D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«Системы генерации энергии ветра. Часть 25-1. Связи для мониторинга и управления ветряными электростанциями. Общее описание принципов и моделей»</w:t>
      </w:r>
    </w:p>
    <w:p w14:paraId="7374AEBE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«Ветрогенераторы. Часть 25-3. Средства связи для мониторинга и управления ветряными электростанциями. Модели обмена информацией»</w:t>
      </w:r>
    </w:p>
    <w:p w14:paraId="5E60AA34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электроснабжения»</w:t>
      </w:r>
    </w:p>
    <w:p w14:paraId="3D6E7E68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«Электрификация сельской местности. Системы с возобновляемыми источниками энергии и гибридные системы малой мощности. Часть 1. Общие положения»</w:t>
      </w:r>
    </w:p>
    <w:p w14:paraId="55C9219C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«Требования безопасности к канатным установкам для перевозки людей. Натяжные устройства»</w:t>
      </w:r>
    </w:p>
    <w:p w14:paraId="201B2FDF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«Требования безопасности к канатным установкам для перевозки людей. Возврат и эвакуация»</w:t>
      </w:r>
    </w:p>
    <w:p w14:paraId="4E083B74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«Требования безопасности к канатным установкам для перевозки людей. Контроль пусконаладочных работ и указания по техническому обслуживанию и эксплуатационному контролю»</w:t>
      </w:r>
    </w:p>
    <w:p w14:paraId="6D249985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«Пластмассовые трубопроводы для транспортирования газообразного топлива. Полиэтилен (РЕ). Часть 1. Общие положения». </w:t>
      </w:r>
    </w:p>
    <w:p w14:paraId="302275BC" w14:textId="043F23CC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«Пластмассовые трубопроводы для транспортирования газообразного топлива. Полиэтилен (</w:t>
      </w:r>
      <w:r w:rsidR="003F0BD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KZ"/>
        </w:rPr>
        <w:t>Р</w:t>
      </w: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Э). Часть 2. Трубы»</w:t>
      </w:r>
    </w:p>
    <w:p w14:paraId="3D1554D7" w14:textId="77777777" w:rsidR="00F64D1F" w:rsidRPr="00230886" w:rsidRDefault="00F64D1F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«Завтраки сухие. Хлопья кукурузные и пшеничные. Общие технические условия» </w:t>
      </w:r>
    </w:p>
    <w:p w14:paraId="2AC55339" w14:textId="77777777" w:rsidR="00A40B0E" w:rsidRPr="00230886" w:rsidRDefault="00A40B0E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«Консервы. Салаты. Общие технические условия» </w:t>
      </w:r>
    </w:p>
    <w:p w14:paraId="18F7CFE3" w14:textId="77777777" w:rsidR="00715FEB" w:rsidRPr="00230886" w:rsidRDefault="00715FEB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«Консервы мясные из субпродуктов «Куырдак»».</w:t>
      </w:r>
    </w:p>
    <w:p w14:paraId="1471C067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«Консервы. Овощи тушеные. Технические условия» </w:t>
      </w:r>
    </w:p>
    <w:p w14:paraId="3EFAF88D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«Общие требования к </w:t>
      </w: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KZ"/>
        </w:rPr>
        <w:t xml:space="preserve">пищевой </w:t>
      </w: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продукции Халал»</w:t>
      </w:r>
    </w:p>
    <w:p w14:paraId="50F754AD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«Желатин пищевой Халал. Требования и методы испытаний»</w:t>
      </w:r>
    </w:p>
    <w:p w14:paraId="0DA6EF0C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ГОСТ «Оценка соответствия. Общие требования проверки квалификации для Халал» </w:t>
      </w:r>
    </w:p>
    <w:p w14:paraId="582D523C" w14:textId="5DB8AE72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sz w:val="24"/>
          <w:szCs w:val="24"/>
          <w:lang w:eastAsia="ru-KZ"/>
        </w:rPr>
        <w:t>ГОСТ «Оценка соответствия. Пример схемы сертификации продукции Халал»</w:t>
      </w:r>
      <w:r w:rsidRPr="00230886">
        <w:rPr>
          <w:rFonts w:ascii="Times New Roman" w:eastAsia="Times New Roman" w:hAnsi="Times New Roman" w:cs="Times New Roman"/>
          <w:sz w:val="24"/>
          <w:szCs w:val="24"/>
          <w:lang w:val="kk-KZ" w:eastAsia="ru-KZ"/>
        </w:rPr>
        <w:t xml:space="preserve"> </w:t>
      </w:r>
    </w:p>
    <w:p w14:paraId="1937E771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«Мясо птицы холодного и горячего копчения. Технические условия»</w:t>
      </w:r>
    </w:p>
    <w:p w14:paraId="6B1E517F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«Телятина. Туши и отрубы. Требование при поставках и контроль качества»</w:t>
      </w:r>
    </w:p>
    <w:p w14:paraId="0514036E" w14:textId="4FFC3130" w:rsidR="00F64D1F" w:rsidRPr="00230886" w:rsidRDefault="00F64D1F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lastRenderedPageBreak/>
        <w:t>ГОСТ «Требования безопасности к канатным установкам для перевозки людей. Строительство гражданских сооружений»</w:t>
      </w:r>
    </w:p>
    <w:p w14:paraId="5258B01A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«Рис. Технические условия»</w:t>
      </w:r>
    </w:p>
    <w:p w14:paraId="7D1B3F08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«Масло сливочное. Определение содержания влаги, сухих обезжиренных веществ и жира (стандартные методы). Часть 2. Определение содержания сухих обезжиренных веществ»</w:t>
      </w:r>
    </w:p>
    <w:p w14:paraId="0EDC1804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«Масло сливочное. Определение содержания влаги, сухих обезжиренных веществ и жира. Часть 2. Определение содержания обезжиренных сухих веществ (контрольный метод)»</w:t>
      </w:r>
    </w:p>
    <w:p w14:paraId="28D4C2EE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«Масло льняное нерафинированное пищевое. Технические условия» </w:t>
      </w:r>
    </w:p>
    <w:p w14:paraId="0546F769" w14:textId="77777777" w:rsidR="00711AA4" w:rsidRPr="00230886" w:rsidRDefault="00711AA4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ГОСТ «Масло </w:t>
      </w:r>
      <w:proofErr w:type="spellStart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сафлоровое</w:t>
      </w:r>
      <w:proofErr w:type="spellEnd"/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пищевое. Технические условия» </w:t>
      </w:r>
    </w:p>
    <w:p w14:paraId="3E86F02A" w14:textId="73CAFD8B" w:rsidR="00F64D1F" w:rsidRPr="00230886" w:rsidRDefault="00F64D1F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ГОСТ «Оценка соответствия. Общие требования к органам, осуществляющим сертификацию </w:t>
      </w:r>
      <w:r w:rsidR="00E44FD6" w:rsidRPr="00230886">
        <w:rPr>
          <w:rFonts w:ascii="Times New Roman" w:eastAsia="Times New Roman" w:hAnsi="Times New Roman" w:cs="Times New Roman"/>
          <w:sz w:val="24"/>
          <w:szCs w:val="24"/>
          <w:lang w:val="kk-KZ" w:eastAsia="ru-KZ"/>
        </w:rPr>
        <w:t>персонала</w:t>
      </w:r>
      <w:r w:rsidRPr="00230886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, участвующих в деятельности, связанной с Халал» </w:t>
      </w:r>
    </w:p>
    <w:p w14:paraId="2AF7F624" w14:textId="77777777" w:rsidR="00230886" w:rsidRPr="00230886" w:rsidRDefault="00230886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«Оценка соответствия. Требования к органам по аккредитации Халал, аккредитующим органы по оценке соответствия Халал»</w:t>
      </w:r>
    </w:p>
    <w:p w14:paraId="4B52C647" w14:textId="77777777" w:rsidR="00230886" w:rsidRPr="00230886" w:rsidRDefault="00230886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«Оценка соответствия. Требования к компетенции лабораторий, выполняющих испытания продукции Халал»</w:t>
      </w:r>
    </w:p>
    <w:p w14:paraId="0507E07A" w14:textId="78AE21C7" w:rsidR="00F64D1F" w:rsidRPr="00230886" w:rsidRDefault="00F64D1F" w:rsidP="0023088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230886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ГОСТ «Особые требования к применению стандарта OIC/SMIIC 1 к местам приготовления, подачи и реализации блюд и напитков Халал»</w:t>
      </w:r>
    </w:p>
    <w:p w14:paraId="642EAE49" w14:textId="77777777" w:rsidR="00711AA4" w:rsidRPr="00A40B0E" w:rsidRDefault="00711AA4" w:rsidP="0023088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</w:p>
    <w:sectPr w:rsidR="00711AA4" w:rsidRPr="00A40B0E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E67D3"/>
    <w:multiLevelType w:val="hybridMultilevel"/>
    <w:tmpl w:val="4A3C6D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99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1F"/>
    <w:rsid w:val="000F43E0"/>
    <w:rsid w:val="002069B6"/>
    <w:rsid w:val="00230886"/>
    <w:rsid w:val="003F0BD9"/>
    <w:rsid w:val="006B5005"/>
    <w:rsid w:val="00711AA4"/>
    <w:rsid w:val="00715FEB"/>
    <w:rsid w:val="007379B2"/>
    <w:rsid w:val="00986316"/>
    <w:rsid w:val="00A40B0E"/>
    <w:rsid w:val="00A57B29"/>
    <w:rsid w:val="00B40172"/>
    <w:rsid w:val="00B700ED"/>
    <w:rsid w:val="00C45A2C"/>
    <w:rsid w:val="00E44FD6"/>
    <w:rsid w:val="00F6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F9E6"/>
  <w15:chartTrackingRefBased/>
  <w15:docId w15:val="{21A232B7-254B-49D2-BAAE-3050380DAF4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76" Type="http://schemas.openxmlformats.org/officeDocument/2006/relationships/image" Target="media/image976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6</cp:revision>
  <cp:lastPrinted>2022-11-30T05:49:00Z</cp:lastPrinted>
  <dcterms:created xsi:type="dcterms:W3CDTF">2022-11-29T08:40:00Z</dcterms:created>
  <dcterms:modified xsi:type="dcterms:W3CDTF">2022-11-30T06:00:00Z</dcterms:modified>
</cp:coreProperties>
</file>